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2015/244 vom 8. Februar 2018</w:t>
      </w:r>
    </w:p>
    <w:p>
      <w:r>
        <w:t>Sg Versicherungsgericht, 2018-02-08, DE</w:t>
      </w:r>
    </w:p>
    <w:p>
      <w:r>
        <w:rPr>
          <w:b/>
        </w:rPr>
        <w:t xml:space="preserve">Quelle: </w:t>
      </w:r>
      <w:r>
        <w:t>https://mcp.opencaselaw.ch/entscheid/sg_publikationen_IV 2015_244</w:t>
      </w:r>
    </w:p>
    <w:p>
      <w:r>
        <w:t>FR: SG_VERSICHERUNGSGERICHT IV 2015/244 du 8 février 2018</w:t>
      </w:r>
    </w:p>
    <w:p>
      <w:r>
        <w:t>IT: SG_VERSICHERUNGSGERICHT IV 2015/244 del 8 febbraio 2018</w:t>
      </w:r>
    </w:p>
    <w:p>
      <w:pPr>
        <w:pStyle w:val="Heading2"/>
      </w:pPr>
      <w:r>
        <w:t>Regeste</w:t>
      </w:r>
    </w:p>
    <w:p>
      <w:r>
        <w:t>Im Administrativgutachten wurden geltend gemachte Beschwerden ungenügend berücksichtigt, weshalb auf dessen Einschätzung nicht abschliessend abgestellt werden kann. Die Sache wird zu ergänzenden Abklärungen an die IV-Stelle zurückgewiesen (Entscheid des Versicherungsgerichts des Kantons St. Gallen vom 8. Februar 2018, IV 2015/244).</w:t>
      </w:r>
    </w:p>
    <w:p>
      <w:pPr>
        <w:pStyle w:val="Heading2"/>
      </w:pPr>
      <w:r>
        <w:t>Erwägungen</w:t>
      </w:r>
    </w:p>
    <w:p>
      <w:r>
        <w:rPr>
          <w:b/>
        </w:rPr>
        <w:t>E. 1</w:t>
      </w:r>
    </w:p>
    <w:p>
      <w:r>
        <w:t>Zwischen den Parteien umstritten und nachfolgend zu prüfen ist ein Rentenanspruch der Beschwerdeführerin. Nicht zum Streitgegenstand gehört der eventualiter gestellte Antrag auf Eingliederungsmassnahmen. Diese Frage ist nicht Gegenstand der Verfügung vom 16. Juni 2015 (IV-act. 47). Bereits mit Mitteilung vom 7. August 2014 hatte die Beschwerdegegnerin einen Anspruch auf berufliche Massnahmen verneint. Darin wurde die Beschwerdeführerin ausdrücklich darauf hingewiesen, dass sie eine beschwerdefähige Verfügung verlangen könne (IV-act. 17). Dies hat sie bis zum aktuellen Zeitpunkt nicht getan. Entsprechend ist mangels Verfügung in diesem Punkt auf die Beschwerde nicht einzutreten.</w:t>
      </w:r>
    </w:p>
    <w:p>
      <w:r>
        <w:rPr>
          <w:b/>
        </w:rPr>
        <w:t>E. 2</w:t>
      </w:r>
    </w:p>
    <w:p>
      <w:r>
        <w:t>2.1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2.4  Der Sozialversicherungsprozess ist vom Untersuchungsgrundsatz beherrscht. Danach haben Gericht und Verwaltung von Amtes wegen für die richtige und vollständige Abklärung des rechtserheblichen Sachverhaltes zu sorgen (Urteil des Bundesgerichts vom 1. April 2011, 8C_73/2011, E. 4.1).</w:t>
      </w:r>
    </w:p>
    <w:p>
      <w:r>
        <w:rPr>
          <w:b/>
        </w:rPr>
        <w:t>E. 3</w:t>
      </w:r>
    </w:p>
    <w:p>
      <w:r>
        <w:t>Um den Invaliditätsgrad ermitteln zu können, muss die Arbeitsfähigkeit der Beschwerdeführerin mit dem Beweisgrad der überwiegenden Wahrscheinlichkeit feststehen. Die Beschwerdegegnerin stützt sich dabei in der angefochtenen Verfügung auf das bidisziplinäre (internistische / psychiatrische) SMAB-Gutachten vom 20. April 2015 (IV-act. 36) sowie die anschliessende Stellungnahme des RAD vom 23. April 2015 (IV-act. 37), welcher das Gutachten als beweiskräftig erachtet. 3.1  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Es ist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3.2  Die Beschwerdeführerin bemängelt am SMAB-Gutachten zentral, dass trotz angegebenen Beschwerden in beiden Daumengrundgelenken während der Begutachtung keine weiteren Abklärungen diesbezüglich veranlasst worden seien. In der Folge sei eine beidseitige Rhizarthrose diagnostiziert worden, deren Auswirkungen auf die Arbeitsfähigkeit einer medizinischen Abklärung bedürften. 3.3  Die Beschwerdeführerin hat – wie von ihr richtig dargelegt wird – anlässlich der internistischen Begutachtung Schmerzen in beiden Daumengrundgelenken beklagt (IV-act. 36-16). Die Untersuchung des Bewegungsapparates – damit auch der Hand- und Fingergelenke – ergab gemäss internistischem Gutachten keine Auffälligkeiten und keine Entzündungszeichen. In der Folge zeigte sich gemäss Bericht von Dr. med. G.___, FMH Chirurgie, vom 21. Juli 2015 auf den Röntgenbildern vom 14. Juli 2015 eine beidseitige Rhizarthrose (act. G 1.1.5). Nachdem Arthrosen nicht innerhalb von Monaten entstehen, sondern sich langsam entwickeln (vgl. ALFRED M. DEBRUNNER, Orthopädie, Orthopädische Chirurgie, 4. Aufl. Bern 2005, S. 586 f.), liegt der Schluss nahe bzw. ist überwiegend wahrscheinlich ausgewiesen, dass bei Beschwerdeangaben zum Zeitpunkt der Begutachtung im März 2015 und damit auch bei Verfügungserlass im Juni 2015 – wenn auch mittels Röntgenbild erst im Juli 2015 ausgewiesen – dieses Krankheitsbild bereits im relevanten Zeitraum vorhanden war und in diesem Verfahren zu berücksichtigen gewesen wäre. Indem im Rahmen der Begutachtung die Schmerzen im Daumengrundgelenk zwar bekannt waren, aber keine weiteren (orthopädischen) Abklärungen dazu getroffen wurden bzw. ohne fachärztliche Einschätzung zu Unrecht von keinen Auffälligkeiten ausgegangen wurde, erweist sich das Gutachten als unvollständig und kann für die Beurteilung der Arbeitsfähigkeit der Beschwerdeführerin zum Ver¬fügungszeitpunkt nicht abschliessend herangezogen werden (vgl. vorstehende E. 3.1). 3.4  Der Einwand der Beschwerdegegnerin, dass die Rhizarthrose behandelbar sei und lediglich eine vorübergehende Einschränkung der Arbeitsfähigkeit verursache, mag für viele Fälle zutreffen. Ohne hinreichende medizinische Einschätzung kann dies aber nicht pauschal angenommen werden. Von Relevanz ist weiter, dass bei ausgewiesener, invalidenversicherungsrechtlich relevanter Arbeitsunfähigkeit im gesamten Jahr 2014 aufgrund der im Zeitpunkt der Begutachtung bekannten Leiden und Einschränkungen jegliche weitere anschliessende relevante Arbeitsunfähigkeit ab dem Jahr 2015 zu einer zumindest befristeten Invalidenrente führen kann. Für eine mindestens temporär stärker eingeschränkte Arbeitsfähigkeit auch in adaptierter Tätigkeit als von der Beschwerdegegnerin angenommen, spricht der Arbeitsbericht der F.___ Stiftung vom 9. Juli 2015, in deren Betrieb die Beschwerdeführerin vom 22. Juni bis 10. Juli 2015 tätig war (act. G 1.1.10). In diesem wird ausgeführt, dass die Beschwerdeführerin bei angepassten Tätigkeiten ohne Zeitdruck in der Lage gewesen sei, ein 50%-Pensum zu absolvieren, wobei gegen Mittag Konzentration, Hörverständnis und Merkfähigkeit nachgelassen hätten. Bei der Beanspruchung beider Hände hätten die Schmerzen im linken Daumengelenk zugenommen. Bei Tätigkeiten, bei welchen die rechte Hand mehr belastet worden sei, seien auch im rechten Daumengelenk nach ca. einer Stunde Schmerzen aufgetreten. Das Greifen sei der Beschwerdeführerin zunehmend schwerer gefallen. Einschränkungen aufgrund von Handgelenksbeschwerden sind damit rechtsgenüglich ausgewiesen und deren umfassende Abklärung notwendig. In diesem Zusammenhang ist auch von Belang, dass sich die Beschwerdeführerin sowohl anlässlich der Begutachtung als auch bei ihrer Arbeit im F.___ motiviert zeigte (IV-act. 36-27, act. G 1.1.10) und Hinweise für ein suboptimales Leistungsverhalten oder auf relevante Inkonsistenzen nicht auszumachen waren (IV-act. 37-2). Die Divergenz zwischen der medizinischen Zumutbarkeit gemäss Gutachten und der praktisch erprobten Leistungsfähigkeit im Juni/Juli 2015 lässt sich somit auch damit nicht erklären. 3.5  Zusammengefasst ist festzuhalten, dass in Bezug auf die geklagten Daumengrundgelenkbeschwerden keine umfassende Abklärung vorgenommen wurde, womit die verfügbaren (medizinischen) Unterlagen keine zuverlässige Beurteilung des streitigen Rentenanspruches zum frühestmöglichen Rentenbeginn zulassen bzw. weitere (medizinische) Abklärungen zu tätigen sind. Ob (Verlaufs-)Berichte der behandelnden Ärzte ausreichen, eine erneute Begutachtung erforderlich ist oder eine Ergänzung der bereits durchgeführten Exploration ausreicht, wird die Beschwerdegegnerin nach Rücksprache mit dem RAD beurteilen müssen. Nach Vorliegen der weiteren medizinischen Abklärungen wird die Beschwerdegegnerin über den Rentenanspruch der Beschwerdeführerin erneut zu befinden haben.</w:t>
      </w:r>
    </w:p>
    <w:p>
      <w:r>
        <w:rPr>
          <w:b/>
        </w:rPr>
        <w:t>E. 4</w:t>
      </w:r>
    </w:p>
    <w:p>
      <w:r>
        <w:t>4.1  Nach dem Gesagten ist die Beschwerde, soweit darauf einzutreten ist, dahingehend gutzuheissen, dass die angefochtene Verfügung vom 16. Juni 2015 aufzuheben und die Sache im Sinne der Erwägungen zur Vornahme weiterer Abklärungen und zu neuer Verfügung an die Beschwerdegegnerin zurückzuweisen ist.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der beschwerdeführenden Partei zu werten (BGE 132 V 235 E. 6.2). Dementsprechend ist die Gerichtsgebühr von Fr. 600.-- vollumfänglich der Beschwerdegegnerin aufzuerlegen. Der geleistete Kostenvorschuss von Fr. 600.-- ist der Beschwerdeführerin zurückzuerstatten. 4.3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pauschal Fr. 1'000.-- bis Fr. 12'000.--. Die Rechtsvertreterin hat keine Honorarnote eingereicht. Im hier zu beurteilenden, durchschnittlich aufwändigen Fall, erscheint eine pauschale Parteientschädigung von Fr. 3‘500.-- als angemessen. Die Beschwerdegegnerin hat die Beschwerdeführerin somit mit Fr. 3‘500.-- (inklusive Barauslagen und Mehrwertsteuer) zu entschädigen. Entscheid im Zirkulationsverfahren gemäss Art. 39 VRP 1. Die Beschwerde wird, soweit darauf einzutreten ist, dahingehend gutgeheissen, dass die angefochtene Verfügung vom 16. Juni 2015 aufgehoben und die Sache zur weiteren Abklärung und zur anschliessenden neuen Verfügung im Sinne der Erwägungen an die Beschwerdegegnerin zurückgewiesen wird. 2. Die Beschwerdegegnerin hat die Gerichtskosten von Fr. 600.-- zu bezahlen. Der geleistete Kostenvorschuss von Fr. 600.-- wird der Beschwerdeführerin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